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Реіндустріалізація України 2030–2035</w:t>
      </w:r>
    </w:p>
    <w:p>
      <w:pPr>
        <w:jc w:val="center"/>
      </w:pPr>
      <w:r>
        <w:rPr>
          <w:i/>
          <w:sz w:val="26"/>
        </w:rPr>
        <w:t>Публічна версія: сценарії, параметри, бюджетна спроможність і ситуаційна кімната</w:t>
      </w:r>
    </w:p>
    <w:p>
      <w:pPr>
        <w:jc w:val="center"/>
      </w:pPr>
      <w:r>
        <w:rPr>
          <w:sz w:val="20"/>
        </w:rPr>
        <w:t>Дата публічної збірки: 27.05.2026</w:t>
      </w:r>
    </w:p>
    <w:p>
      <w:pPr>
        <w:pStyle w:val="Small"/>
        <w:jc w:val="center"/>
      </w:pPr>
      <w:r>
        <w:t>Публічна версія після source freeze, перевірки web-addendum sources, розширення клікабельної доказової осі, line edit і завершення graph/source drawer registry.</w:t>
      </w:r>
    </w:p>
    <w:p>
      <w:r>
        <w:br w:type="page"/>
      </w:r>
    </w:p>
    <w:p>
      <w:pPr>
        <w:pStyle w:val="Heading1"/>
      </w:pPr>
      <w:r>
        <w:t>Зміст</w:t>
      </w:r>
    </w:p>
    <w:p>
      <w:pPr/>
      <w:r>
        <w:t>1. Коротке резюме</w:t>
      </w:r>
    </w:p>
    <w:p>
      <w:pPr/>
      <w:r>
        <w:t>2. Як читати сценарії</w:t>
      </w:r>
    </w:p>
    <w:p>
      <w:pPr/>
      <w:r>
        <w:t>3. Джерела і forecast bridge</w:t>
      </w:r>
    </w:p>
    <w:p>
      <w:pPr/>
      <w:r>
        <w:t>4. Поточний стан і секторна система</w:t>
      </w:r>
    </w:p>
    <w:p>
      <w:pPr/>
      <w:r>
        <w:t>5. Центральна сценарна модель</w:t>
      </w:r>
    </w:p>
    <w:p>
      <w:pPr/>
      <w:r>
        <w:t>6. Бюджет, борг і створення вартості</w:t>
      </w:r>
    </w:p>
    <w:p>
      <w:pPr/>
      <w:r>
        <w:t>7. Ризики і запобіжники</w:t>
      </w:r>
    </w:p>
    <w:p>
      <w:pPr/>
      <w:r>
        <w:t>8. Ситуаційна кімната і графіки</w:t>
      </w:r>
    </w:p>
    <w:p>
      <w:pPr/>
      <w:r>
        <w:t>9. Пакети політики і дорожня карта</w:t>
      </w:r>
    </w:p>
    <w:p>
      <w:pPr/>
      <w:r>
        <w:t>10. Source freeze register</w:t>
      </w:r>
    </w:p>
    <w:p>
      <w:pPr/>
      <w:r>
        <w:t>11. Graph/source drawer registry</w:t>
      </w:r>
    </w:p>
    <w:p>
      <w:pPr/>
      <w:r>
        <w:t>12. References</w:t>
      </w:r>
    </w:p>
    <w:p>
      <w:pPr>
        <w:pStyle w:val="Heading1"/>
      </w:pPr>
      <w:r>
        <w:t>1. Коротке резюме</w:t>
      </w:r>
    </w:p>
    <w:p>
      <w:r>
        <w:t xml:space="preserve">Україна має створити промислову траєкторію, у якій відбудова переходить у локальну додану вартість, експорт, податки, технологічну серійність і боргову спроможність. </w:t>
      </w:r>
      <w:r>
        <w:t xml:space="preserve">Масштаб стартового завдання задає </w:t>
      </w:r>
      <w:hyperlink r:id="rId9">
        <w:r>
          <w:rPr>
            <w:color w:val="0563C1"/>
            <w:u w:val="single"/>
          </w:rPr>
          <w:t>десятирічна оцінка потреб України у відновленні та реконструкції</w:t>
        </w:r>
      </w:hyperlink>
      <w:r>
        <w:t xml:space="preserve"> [5].</w:t>
      </w:r>
    </w:p>
    <w:p>
      <w:r>
        <w:t xml:space="preserve">Короткострокова макроекономічна рамка 2026–2028 спирається на </w:t>
      </w:r>
      <w:hyperlink r:id="rId10">
        <w:r>
          <w:rPr>
            <w:color w:val="0563C1"/>
            <w:u w:val="single"/>
          </w:rPr>
          <w:t>прогнозну таблицю World Bank Macro Poverty Outlook / April 2026</w:t>
        </w:r>
      </w:hyperlink>
      <w:r>
        <w:t xml:space="preserve"> [1], </w:t>
      </w:r>
      <w:hyperlink r:id="rId11">
        <w:r>
          <w:rPr>
            <w:color w:val="0563C1"/>
            <w:u w:val="single"/>
          </w:rPr>
          <w:t>квітневу прогнозну рамку НБУ щодо ВВП, інфляції, дефіциту і зовнішньої допомоги</w:t>
        </w:r>
      </w:hyperlink>
      <w:r>
        <w:t xml:space="preserve"> [2], </w:t>
      </w:r>
      <w:hyperlink r:id="rId12">
        <w:r>
          <w:rPr>
            <w:color w:val="0563C1"/>
            <w:u w:val="single"/>
          </w:rPr>
          <w:t>поточний прогноз МВФ для України на 2026 рік</w:t>
        </w:r>
      </w:hyperlink>
      <w:r>
        <w:t xml:space="preserve"> [3] і </w:t>
      </w:r>
      <w:hyperlink r:id="rId13">
        <w:r>
          <w:rPr>
            <w:color w:val="0563C1"/>
            <w:u w:val="single"/>
          </w:rPr>
          <w:t>прогноз ЄБРР щодо зростання України у 2026–2027 роках</w:t>
        </w:r>
      </w:hyperlink>
      <w:r>
        <w:t xml:space="preserve"> [4].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Сценарій</w:t>
            </w:r>
          </w:p>
        </w:tc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Country score 2035</w:t>
            </w:r>
          </w:p>
        </w:tc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GDP-equivalent 2035, млрд дол. США</w:t>
            </w:r>
          </w:p>
        </w:tc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Revenue 2035, млрд дол. США</w:t>
            </w:r>
          </w:p>
        </w:tc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Deficit 2035, млрд дол. США</w:t>
            </w:r>
          </w:p>
        </w:tc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Debt/GDP proxy 2035</w:t>
            </w:r>
          </w:p>
        </w:tc>
        <w:tc>
          <w:tcPr>
            <w:tcW w:type="dxa" w:w="1481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Сенс</w:t>
            </w:r>
          </w:p>
        </w:tc>
      </w:tr>
      <w:tr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Шоковий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48,1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227,3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81,8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38,6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125%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Економічна безперервність під високим тиском.</w:t>
            </w:r>
          </w:p>
        </w:tc>
      </w:tr>
      <w:tr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Інерційний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65,1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263,4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102,7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18,4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95%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Часткове відновлення з істотним opportunity gap.</w:t>
            </w:r>
          </w:p>
        </w:tc>
      </w:tr>
      <w:tr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Трансформаційний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86,2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302,3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126,9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−6,0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72%</w:t>
            </w:r>
          </w:p>
        </w:tc>
        <w:tc>
          <w:tcPr>
            <w:tcW w:type="dxa" w:w="1481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Промислова траєкторія з найсильнішою фіскальною позицією.</w:t>
            </w:r>
          </w:p>
        </w:tc>
      </w:tr>
    </w:tbl>
    <w:p>
      <w:r>
        <w:t>Головний висновок: трансформаційний сценарій дає найбільшу економічну базу, найвищі доходи і найнижчий debt/GDP proxy до 2035 року. Різниця виникає через три канали: вищий ВВП, більша локальна частка доданої вартості у відбудові і нижча премія ризику для капіталу.</w:t>
      </w:r>
    </w:p>
    <w:p>
      <w:pPr>
        <w:pStyle w:val="Heading1"/>
      </w:pPr>
      <w:r>
        <w:t>2. Як читати сценарії</w:t>
      </w:r>
    </w:p>
    <w:p>
      <w:r>
        <w:t>Сценарій у цьому звіті є керованою траєкторією, яка залежить від параметрів. Три основні сценарії мають різну політичну і фіскальну логіку: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Сценарій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Цільова логіка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Результат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Шоковий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зберегти виробниче ядро, бюджетну ліквідність, логістику і кадри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високий ризик, низький приріст, сильна потреба у safeguards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Інерційний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підтримати стабільність і частково прискорити відновлення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помірний результат, але втрачена частина податкового і промислового потенціалу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Трансформаційний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зібрати енергію, капітал, експорт, працю, локалізацію, технології і бюджетну логіку в одну програму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найвища економічна база, найкраща боргова спроможність, найменший risk penalty</w:t>
            </w:r>
          </w:p>
        </w:tc>
      </w:tr>
    </w:tbl>
    <w:p>
      <w:pPr>
        <w:pStyle w:val="Heading2"/>
      </w:pPr>
      <w:r>
        <w:t>2.1. Параметри P01–P10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Код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Параметр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Як змінює модель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P01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Доступність промислової енергії (industrial energy availability)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Підвищує завантаженість потужностей і знижує cost shock.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P02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Вартість і доступність капіталу (cost of capital)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Підвищує private CAPEX і горизонт окупності.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P03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Стабільність зовнішнього фінансування (external financing stability)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Стабілізує бюджет, резерви та критичний імпорт.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P04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Страхування воєнного ризику (war-risk insurance)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Знижує risk premium для інвестора.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P05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Експортна пропускна спроможність (export throughput)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Підвищує валютну виручку, маржу і довіру покупців.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P06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Доступність праці (labour availability)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Підвищує швидкість виконання проєктів.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P07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Тарифна передбачуваність (tariff predictability)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Знижує невизначеність собівартості.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P08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Локалізація ланцюгів вартості (value-chain localisation)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Переводить відбудову у локальну ВДВ.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P09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Державний попит із промисловим ефектом (public demand with industrial effect)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Створює серійність і довгі замовлення.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P10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Технологічна інтенсивність (technology intensity)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Підвищує продуктивність, стандарти й експортну готовність.</w:t>
            </w:r>
          </w:p>
        </w:tc>
      </w:tr>
    </w:tbl>
    <w:p>
      <w:pPr>
        <w:pStyle w:val="Heading1"/>
      </w:pPr>
      <w:r>
        <w:t>3. Джерела, методи і forecast bridge</w:t>
      </w:r>
    </w:p>
    <w:p>
      <w:r>
        <w:t>Модель поєднує джерельні прогнози, секторні індекси, пасивну екстраполяцію, динамічне оновлення стану, експертне уточнення і параметричні перемикачі. Джерела задають короткострокову рамку; модель пояснює, які параметри переводять країну між сценаріями.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Джерело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Показник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2023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2024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2025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2026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2027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2028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Роль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 MPO, April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Real GDP growth,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3,2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1,8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1,2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консервативний зовнішній baseline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 MPO, April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Industry growth,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32,8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3,9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−0,8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industrial state anchor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 MPO, April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Inflation CPI,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12,9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12,9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5,8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price-pressure anchor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 MPO, April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Debt, % GDP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78,3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87,4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101,9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107,2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112,3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108,0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debt anchor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NBU, 7 May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Real GDP growth,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1,3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2,8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3,7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domestic baseline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NBU, 7 May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Inflation year-end,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9,4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monetary/cost frame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IMF country page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Projected real GDP growth,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upper 2026 comparator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EBRD, 26 Feb 2026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Real GDP growth forecast, %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2,5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—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supported inertial comparator</w:t>
            </w:r>
          </w:p>
        </w:tc>
      </w:tr>
    </w:tbl>
    <w:p>
      <w:r>
        <w:t xml:space="preserve">Пасивна екстраполяція (simple extrapolation) механічно продовжує попередній темп і дає контрольну лінію без нової політики. </w:t>
      </w:r>
      <w:r>
        <w:t>Формула:</w:t>
      </w:r>
    </w:p>
    <w:p>
      <w:pPr>
        <w:pStyle w:val="Formula"/>
      </w:pPr>
      <w:r>
        <w:t>Value_t = Base × (1 + r)^(t − baseYear)</w:t>
      </w:r>
    </w:p>
    <w:p>
      <w:pPr>
        <w:pStyle w:val="Small"/>
        <w:ind w:left="360"/>
      </w:pPr>
      <w:r>
        <w:t>Base — стартове значення; r — річний темп; t — рік прогнозу.</w:t>
      </w:r>
    </w:p>
    <w:p>
      <w:r>
        <w:t>Динамічне оновлення стану (Kalman/state-space update) щороку коригує оцінку після появи нових даних. Модель бере попередній стан, додає ефект дій, віднімає силу ризику і порівнює прогноз із новим виміром.</w:t>
      </w:r>
    </w:p>
    <w:p>
      <w:pPr>
        <w:pStyle w:val="Formula"/>
      </w:pPr>
      <w:r>
        <w:t>PredictedState_t = PriorState_(t−1) + ControlEffect_t − RiskShock_t × 0.03</w:t>
      </w:r>
    </w:p>
    <w:p>
      <w:pPr>
        <w:pStyle w:val="Formula"/>
      </w:pPr>
      <w:r>
        <w:t>KalmanGain_t = PredictedUncertainty_t / (PredictedUncertainty_t + MeasurementRisk_t)</w:t>
      </w:r>
    </w:p>
    <w:p>
      <w:pPr>
        <w:pStyle w:val="Formula"/>
      </w:pPr>
      <w:r>
        <w:t>PosteriorState_t = PredictedState_t + KalmanGain_t × (MeasurementZ_t − PredictedState_t)</w:t>
      </w:r>
    </w:p>
    <w:p>
      <w:r>
        <w:t xml:space="preserve">Експертне уточнення (Delphi method) збирає оцінки експертів у кілька раундів і звужує діапазон невизначеності. Методична основа підтримується </w:t>
      </w:r>
      <w:hyperlink r:id="rId14">
        <w:r>
          <w:rPr>
            <w:color w:val="0563C1"/>
            <w:u w:val="single"/>
          </w:rPr>
          <w:t>описом Delphi method як інструменту long-range forecasting</w:t>
        </w:r>
      </w:hyperlink>
      <w:r>
        <w:t xml:space="preserve"> [47].</w:t>
      </w:r>
    </w:p>
    <w:p>
      <w:pPr>
        <w:pStyle w:val="Formula"/>
      </w:pPr>
      <w:r>
        <w:t>Consensus = MAX(0; MIN(100; 100 − (R1_IQR + R2_IQR) × 2.5))</w:t>
      </w:r>
    </w:p>
    <w:p>
      <w:pPr>
        <w:pStyle w:val="Heading1"/>
      </w:pPr>
      <w:r>
        <w:t>4. Поточний стан і секторна система</w:t>
      </w:r>
    </w:p>
    <w:p>
      <w:r>
        <w:t>Поточний стан України є системою виробничих, енергетичних, логістичних, кадрових і фінансових зв’язків. Стартова модельна точка фіксується на 27 травня 2026 року. Вона поєднує короткострокові прогнози 2026–2028, recovery index секторів, енергетичний frame, ризики, бюджет і борговий контур.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Вузол</w:t>
            </w:r>
          </w:p>
        </w:tc>
        <w:tc>
          <w:tcPr>
            <w:tcW w:type="dxa" w:w="2074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Score 2026</w:t>
            </w:r>
          </w:p>
        </w:tc>
        <w:tc>
          <w:tcPr>
            <w:tcW w:type="dxa" w:w="2074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Тип</w:t>
            </w:r>
          </w:p>
        </w:tc>
        <w:tc>
          <w:tcPr>
            <w:tcW w:type="dxa" w:w="2074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Формула / логіка</w:t>
            </w:r>
          </w:p>
        </w:tc>
        <w:tc>
          <w:tcPr>
            <w:tcW w:type="dxa" w:w="2074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Пояснення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Металургія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34,7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прямий індекс відновлення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100 × 7,41 / 21,37 = 34,7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виробництво сталі 2025 року близько третини бази 2021 року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Енергетика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64,9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direct/proxy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100 × 102,57 / 158 = 64,9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часткова операційна стійкість при збереженні цінового і мережевого ризику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Хімія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34,0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recovery proxy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100 × 0,34 = 34,0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газова, енергетична і добривна залежність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Машинобудування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35,0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композитний індекс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0,30P06 + 0,25P09 + 0,25P10 + 0,20ComponentReadiness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серійність, компоненти, кадри, замовлення, CAPEX readiness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Будівництво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50,7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прямий індекс відновлення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100 × 0,507 = 50,7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реальний рівень будівельних робіт 2024 року близько половини рівня 2021 року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АПК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75,2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прямий індекс відновлення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100 × 79 / 105 = 75,2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зернові та олійні відновили більшу частину обсягу; додана вартість залежить від переробки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Людський капітал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композитний індекс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0,35Labour + 0,25Skills + 0,20Mobility + 0,20Training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виробнича доступність людей, навичок і навчання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Інфраструктура і логістика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композитний індекс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0,35Throughput + 0,25Reliability + 0,20Cost + 0,20Insurance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спроможність доставляти товари до покупця з прийнятною вартістю і ризиком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Фінанси та інвестиції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25,0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композитний індекс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0,30Insurance + 0,25Guarantees + 0,25Readiness + 0,20CapitalCost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найнижча стартова оцінка через risk premium і короткий капітал</w:t>
            </w:r>
          </w:p>
        </w:tc>
      </w:tr>
      <w:tr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Бюджет і борг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38,0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композитний фіскальний індекс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0,30Revenue + 0,25Debt + 0,25ExternalSupport + 0,20LocalGVA</w:t>
            </w:r>
          </w:p>
        </w:tc>
        <w:tc>
          <w:tcPr>
            <w:tcW w:type="dxa" w:w="2074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фіскальна спроможність через доходи, борговий тиск, підтримку партнерів і локальну ВДВ</w:t>
            </w:r>
          </w:p>
        </w:tc>
      </w:tr>
    </w:tbl>
    <w:p>
      <w:pPr>
        <w:pStyle w:val="Heading1"/>
      </w:pPr>
      <w:r>
        <w:t>5. Центральна сценарна модель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Сектор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2026 base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Shock 2030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Shock 2035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Inertial 2030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Inertial 2035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Transformation 2030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Transformation 2035</w:t>
            </w:r>
          </w:p>
        </w:tc>
        <w:tc>
          <w:tcPr>
            <w:tcW w:type="dxa" w:w="115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Параметри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Металургія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34,7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P01, P05, P10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Енергетика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64,9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P01, P07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Хімія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34,0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P01, P08, P10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Машинобудування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35,0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P06, P09, P10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Будівництво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50,7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P08, P09, P06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АПК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75,2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87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96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P05, P08, P10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Людський капітал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P06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Інфраструктура і логістика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P05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Фінанси та інвестиції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25,0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68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P02, P03, P04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Бюджет і борг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38,0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45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52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80</w:t>
            </w:r>
          </w:p>
        </w:tc>
        <w:tc>
          <w:tcPr>
            <w:tcW w:type="dxa" w:w="115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P03, P08, P09</w:t>
            </w:r>
          </w:p>
        </w:tc>
      </w:tr>
    </w:tbl>
    <w:p>
      <w:r>
        <w:t>Середній стартовий score десяти вузлів становить 43,75/100. Середній endpoint transformation 2035 становить 86,2/100. Модельний uplift дорівнює 42,45 пункту і має бути досягнутий через параметри P01–P10, а не через механічне продовження минулого тренду.</w:t>
      </w:r>
    </w:p>
    <w:p>
      <w:pPr>
        <w:pStyle w:val="Heading1"/>
      </w:pPr>
      <w:r>
        <w:t>6. Бюджет, борг і створення вартості</w:t>
      </w:r>
    </w:p>
    <w:p>
      <w:pPr>
        <w:pStyle w:val="Formula"/>
      </w:pPr>
      <w:r>
        <w:t>GDP Equivalent = GDP_base × GDP Index / 100</w:t>
      </w:r>
    </w:p>
    <w:p>
      <w:pPr>
        <w:pStyle w:val="Formula"/>
      </w:pPr>
      <w:r>
        <w:t>Revenue = GDP Equivalent × Revenue Rate</w:t>
      </w:r>
    </w:p>
    <w:p>
      <w:pPr>
        <w:pStyle w:val="Formula"/>
      </w:pPr>
      <w:r>
        <w:t>Deficit = GDP Equivalent × Deficit Rate</w:t>
      </w:r>
    </w:p>
    <w:p>
      <w:pPr>
        <w:pStyle w:val="Formula"/>
      </w:pPr>
      <w:r>
        <w:t>Debt Stock Proxy = GDP Equivalent × Debt/GDP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Сценарій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2030 GDP index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2035 GDP index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2035 GDP eq, млрд $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Revenue % GDP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Revenue, млрд $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Deficit % GDP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Deficit, млрд $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Debt/GDP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Debt stock proxy, млрд $</w:t>
            </w:r>
          </w:p>
        </w:tc>
        <w:tc>
          <w:tcPr>
            <w:tcW w:type="dxa" w:w="943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Debt-service proxy, млрд $</w:t>
            </w:r>
          </w:p>
        </w:tc>
      </w:tr>
      <w:tr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Шоковий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108,2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119,2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227,3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36,0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81,8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17,0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38,6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125%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284,1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14,8</w:t>
            </w:r>
          </w:p>
        </w:tc>
      </w:tr>
      <w:tr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Інерційний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115,9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138,1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263,4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39,0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102,7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18,4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95%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250,2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12,6</w:t>
            </w:r>
          </w:p>
        </w:tc>
      </w:tr>
      <w:tr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Трансформаційний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122,3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158,5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302,3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42,0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126,9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−2,0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−6,0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72%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217,6</w:t>
            </w:r>
          </w:p>
        </w:tc>
        <w:tc>
          <w:tcPr>
            <w:tcW w:type="dxa" w:w="943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11,5</w:t>
            </w:r>
          </w:p>
        </w:tc>
      </w:tr>
    </w:tbl>
    <w:p>
      <w:r>
        <w:t xml:space="preserve">Debt-service proxy є сценарним індикатором тиску. Офіційні cash-flow платежі за боргом мають перевірятися через </w:t>
      </w:r>
      <w:hyperlink r:id="rId15">
        <w:r>
          <w:rPr>
            <w:color w:val="0563C1"/>
            <w:u w:val="single"/>
          </w:rPr>
          <w:t>офіційний графік боргових платежів і прогнозів</w:t>
        </w:r>
      </w:hyperlink>
      <w:r>
        <w:t xml:space="preserve"> [10].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Gap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Шоковий проти трансформаційного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Інерційний проти трансформаційного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Економічний зміст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GDP-equivalent gap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74,9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38,9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додаткова економічна база трансформаційної траєкторії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Revenue gap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45,1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24,2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додаткові річні доходи бюджету у 2035 році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Deficit improvement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44,7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24,5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зменшення річного фіскального тиску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Debt stock reduction proxy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66,5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32,6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нижчий борговий тиск через більшу базу ВВП і кращий фіскальний баланс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Debt-service pressure reduction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3,3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1,1 млрд $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нижчий модельний платіжний тиск</w:t>
            </w:r>
          </w:p>
        </w:tc>
      </w:tr>
    </w:tbl>
    <w:p>
      <w:pPr>
        <w:pStyle w:val="Heading1"/>
      </w:pPr>
      <w:r>
        <w:t>7. Ризики і запобіжники</w:t>
      </w:r>
    </w:p>
    <w:p>
      <w:r>
        <w:t>Ризикова рамка пов’язує кожен ризик із параметрами P01–P10, секторними score, макро-бюджетними outputs, decision thresholds і запобіжниками. Якщо ризик активується, відповідний параметр змінюється, сценарна траєкторія перераховується, а dashboard показує пакет дій, який зменшує втрату.</w:t>
      </w:r>
    </w:p>
    <w:p>
      <w:pPr>
        <w:pStyle w:val="Formula"/>
      </w:pPr>
      <w:r>
        <w:t>RiskScore = 100 × Probability × (Impact/5) × (Cascade/5) × (Exposure/5) × (1 − Preparedness)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Ризиковий канал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Параметри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Запобіжник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Безпекова ескалація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P04, P02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страхування воєнного ризику, гарантії, continuity plans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Енергетичний дефіцит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P01, P07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промислові енергоконтракти, розподілена генерація, мережеве відновлення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Затримка зовнішнього фінансування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P03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financing calendar, reserve buffer, IFI bridge lines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Експортно-логістичне звуження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P05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порти, Дунай, rail/border digitalisation, cargo insurance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Кадровий дефіцит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P06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dual education, короткі сертифікації, veteran integration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CBAM і регуляторна невідповідність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P10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carbon accounting, certification, green finance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Project-readiness bottleneck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P08, P09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project pipeline, permitting fast-track, delivery units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Data/source integrity risk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 UX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 drawers, canonical map, GAP quarantine</w:t>
            </w:r>
          </w:p>
        </w:tc>
      </w:tr>
    </w:tbl>
    <w:p>
      <w:pPr>
        <w:pStyle w:val="Heading1"/>
      </w:pPr>
      <w:r>
        <w:t>8. Ситуаційна кімната і графіки</w:t>
      </w:r>
    </w:p>
    <w:p>
      <w:r>
        <w:t>Ситуаційна кімната перетворює звіт із лінійного документа на доказовий інструмент. Користувач перемикає сценарій, змінює параметри, активує ризики, бачить graph/source drawer і експортує дані.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Component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Призначення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Дані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ScenarioSelector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перемикає шоковий, інерційний і трансформаційний сценарії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D3/D4/D5 outputs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HorizonToggle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перемикає 2026, 2030 і 2035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sector endpoints and macro outputs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ParameterPanel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дає змогу змінити P01–P10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D3 parameter table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MacroBudgetPanel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показує GDP-equivalent, revenue, deficit, debt/GDP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D4 macro-fiscal outputs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RiskPanel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активує ризики і safeguards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D5 risk register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SourceDrawer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відкриває source URL, [n], SourceID, status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 freeze register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AssumptionDrawer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пояснює формулу, припущення і caveat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method layers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ExportModelButton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експортує JSON/CSV/XLSX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data contracts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GraphID</w:t>
            </w:r>
          </w:p>
        </w:tc>
        <w:tc>
          <w:tcPr>
            <w:tcW w:type="dxa" w:w="1728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Назва</w:t>
            </w:r>
          </w:p>
        </w:tc>
        <w:tc>
          <w:tcPr>
            <w:tcW w:type="dxa" w:w="1728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Тип</w:t>
            </w:r>
          </w:p>
        </w:tc>
        <w:tc>
          <w:tcPr>
            <w:tcW w:type="dxa" w:w="1728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Формула / метод</w:t>
            </w:r>
          </w:p>
        </w:tc>
        <w:tc>
          <w:tcPr>
            <w:tcW w:type="dxa" w:w="1728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SourceIDs</w:t>
            </w:r>
          </w:p>
        </w:tc>
        <w:tc>
          <w:tcPr>
            <w:tcW w:type="dxa" w:w="1728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Public status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G01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Country score 2026/2030/2035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line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Weighted scenario score from sector endpoints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S364; S367; S365; S372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G02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Sector endpoints 2035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clustered bar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Endpoint = 2026 score + ParameterUplift − RiskDrag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S001; S016; S116; S277; S370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G03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Macro-budget 2035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combo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GDP_eq = base GDP × GDP index / 100; Revenue = GDP_eq × rate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S364; S367; S358; S355; MOF-DEBT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G04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Opportunity gaps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bar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Gap = Transformation − Scenario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S372; S364; S358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G05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Risk-adjusted country score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combo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Adjusted = BaseScore − RiskScore × penalty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OECD/RAND/risk sources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G06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Energy price and security frame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line/bar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DAM/gas price anchors + import capacity anchors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S042; S056; S115; S369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G07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Recovery index by sector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bar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Score_direct = 100 × Current / Baseline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S016; S116; S137; S277; S205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G08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Delphi consensus by parameter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bar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Consensus formula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WEB-RAND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G09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Kalman annual state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line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Posterior update formula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S364; S367; S363; S365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G10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External factor switches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matrix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Parameter modifiers for P05/P10/P01/P07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S371; S373; S374; S376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G11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 coverage and status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stacked bar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Count by status / tier / domain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All frozen sources</w:t>
            </w:r>
          </w:p>
        </w:tc>
        <w:tc>
          <w:tcPr>
            <w:tcW w:type="dxa" w:w="1728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READY</w:t>
            </w:r>
          </w:p>
        </w:tc>
      </w:tr>
    </w:tbl>
    <w:p>
      <w:pPr>
        <w:pStyle w:val="Heading1"/>
      </w:pPr>
      <w:r>
        <w:t>9. Пакети політики і дорожня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ID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Пакет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Параметри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Ефект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Промислова енергія і стійкість мереж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P01, P07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вища завантаженість потужностей, нижчий cost shock, більша податкова база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Капітал, гарантії і страхування воєнного ризику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P02, P04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нижча вартість капіталу, довший горизонт інвестицій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Локалізація відбудови і державний попит із промисловим ефектом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P08, P09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reconstruction spending → local GVA → jobs → taxes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Експортні коридори і логістична пропускна спроможність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вища валютна виручка, вища маржа, нижчий logistics risk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Виробнича школа і трудова спроможність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швидше виконання проєктів і вищий payroll effect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Технологічна інтенсивність, стандарти і CBAM-readiness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P10, P01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нижчий carbon/regulatory risk і сильніша export readiness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Проєктна готовність і delivery governance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P08, P09, P03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швидший disbursement і менші затримки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PP08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Доказова інфраструктура і source UX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 integrity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довіра, перевірка, придатність для public website і презентації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Рік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Фокус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Що має бути створено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2026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forecast bridge and continuity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стартова рамка, risk thresholds, source-bound dashboard, emergency packages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2027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de-risking and project pipeline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страхування, гарантії, project preparation, local-content rules, енергетичні контракти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2028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sector acceleration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секторні roadmaps, workforce programs, export route upgrades, early checkpoints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2029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private CAPEX and standards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сертифікація, CBAM-readiness, supplier lists, довгі замовлення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2030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mid-term scenario checkpoint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перевірка country score, sector endpoints, revenue path, debt-capacity bridge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2031–2034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consolidation and regulated-market readiness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зниження opportunity gap, carbon accounting, standards, regional nodes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2035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strategic assessment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оцінка scenario outputs and debt-capacity result</w:t>
            </w:r>
          </w:p>
        </w:tc>
      </w:tr>
    </w:tbl>
    <w:p>
      <w:pPr>
        <w:pStyle w:val="Heading1"/>
      </w:pPr>
      <w:r>
        <w:t>10. Source freeze register</w:t>
      </w:r>
    </w:p>
    <w:p>
      <w:r>
        <w:t>Джерельний контур заморожено станом на 27.05.2026. Публічний текст використовує клікабельну доказову вісь: лінкується змістова фраза твердження, після речення зберігається [n], а повний запис залишається у references. Source freeze register також винесено в companion workbook.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[n]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SourceID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Title</w:t>
            </w:r>
          </w:p>
        </w:tc>
        <w:tc>
          <w:tcPr>
            <w:tcW w:type="dxa" w:w="2592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Pure URL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Bank. Ukraine Macro Poverty Outlook, April 2026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https://thedocs.worldbank.org/en/doc/d5f32ef28464d01f195827b7e020a3e8-0500022021/related/mpo-ukr.pdf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S367/S380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National Bank of Ukraine. Inflation Report / forecast note, April-May 2026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https://bank.gov.ua/en/news/all/inflyatsiya-tsogo-roku-timchasovo-prishvidshitsya-ale-povernetsya-do-znijennya-v-nastupni-roki--inflyatsiyniy-zvit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S363/S393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Monetary Fund. Ukraine and the IMF country page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https://www.imf.org/en/countries/ukr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European Bank for Reconstruction and Development. Ukraine maintains macroeconomic stability despite war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https://www.ebrd.com/home/news-and-events/news/2026/ukraine-maintains-macroeconomic-stability-despite-war---ebrd-rep.html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Bank; Government of Ukraine; European Union; United Nations. Ukraine Fifth Rapid Damage and Needs Assessment (RDNA5)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https://documents1.worldbank.org/curated/en/099022026094036395/pdf/P514499-22f93f3a-4278-42bc-b907-db9553d12069.pdf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S345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State Statistics Service of Ukraine. GDP by production method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https://stat.gov.ua/uk/topics/natsionalni-rakhunky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S358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Ministry of Finance / MinfinMedia. Ukraine budget full dataset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https://index.minfin.com.ua/ua/finance/budget/cons/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S355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MinfinMedia / Ministry of Finance. Ukraine state debt 2009–2026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https://index.minfin.com.ua/ua/finance/debtgov/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S359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NBU / MinfinMedia. Ukraine balance of payments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https://index.minfin.com.ua/ua/economy/balance/2026/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MOF-DEBT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Ministry of Finance of Ukraine. Debt payments and forecasts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https://mof.gov.ua/en/borgovi-platezhi-ta-prognozi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Energy Agency. Electricity 2026 executive summary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https://www.iea.org/reports/electricity-2026/executive-summary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S056/S395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Energy Agency. Ukraine’s energy security: pre-winter assessment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https://iea.blob.core.windows.net/assets/5e369893-eceb-438e-a952-5ed811b4e8c0/UkrainesEnergySecurityandtheComingWinterApre-winterassessment.pdf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S063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Energy Map. Electricity dataset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https://energy-map.info/en/datasets/c51a16bc-e990-40db-b790-63624d823daa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S042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GMK Center. Electricity and gas prices for industrial consumers in Ukraine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https://gmk.center/en/infographic/electricity-and-gas-prices-in-ukraine-for-industrial-consumers-in-2025/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S115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NPC Ukrenergo. EU electricity import capacity to Ukraine and Moldova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https://ua.energy/zagalni-novyny/maksymalna-potuzhnist-importu-elektroenergiyi-z-yes-do-ukrayiny-ta-moldovy-u-sichni-zrosla-do-2-450-mvt/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S001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GMK Center. Ukrainian metallurgy: a new stage of development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https://gmk.center/ua/posts/ukrainska-metalurgiya-novij-etap-rozvitku/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S016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Steel Association. Total production of crude steel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https://worldsteel.org/data/annual-production-steel-data/?ind=P1_crude_steel_total_pub/CHN/IND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Steel Association. Short Range Outlook April 2026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https://worldsteel.org/media/press-releases/2026/worldsteel-short-range-outlook-april-2026/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S371/S049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European Commission. Carbon Border Adjustment Mechanism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https://taxation-customs.ec.europa.eu/carbon-border-adjustment-mechanism_en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S116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Kyiv School of Economics. Structural Changes and Challenges in Ukraine’s Construction Industry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https://kse.ua/wp-content/uploads/2024/09/02_09_24_Zvit_Strukturni_zmini_ta_vikliki_v_budivelnii--_industrii--.pdf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S119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Finance Corporation. Rebuilding Ukraine: Investment Opportunities in Construction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https://www.ifc.org/content/dam/ifc/doc/2025/rebuilding-ukraine-investment-opportunities-in-construction-en.pdf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YouControl Market. Construction market public snapshot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https://youcontrol.market/catalog/budivnytstvo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OECD / FAO. Agricultural Outlook 2025–2034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https://www.oecd.org/en/publications/2025/07/oecd-fao-agricultural-outlook-2025-2034_3eb15914.html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S137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Agribusiness in Ukraine. The Infographics Report: Ukrainian Agribusiness 2025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https://agribusinessinukraine.com/the-infographics-report-ukrainian-agribusiness-2025/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S277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Institute for Economic Research and Policy Consulting. Sectoral Report: Machine Building in Ukraine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http://www.ier.com.ua/files/Projects/2024/CEP/Sectoral_report_machine_building_UKR.pdf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S205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Chemistry World. Ukraine’s chemicals industry survives weeks of war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https://www.chemistryworld.com/news/ukraines-chemicals-industry-survives-weeks-of-war/4015.article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S222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UkraineInvest. Chemicals industry in Ukraine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https://ukraineinvest.gov.ua/en/industries/chemicals/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S207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GMK Center. Ostchem fertilizer production context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https://gmk.center/en/news/ostchem-plants-produced-1-8-million-tons-of-mineral-fertilizers-in-2024/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S338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Labour Organization. How did the war impact the Ukrainian labour market?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https://www.ilo.org/resource/news/how-did-war-impact-ukrainian-labour-market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S357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MinfinMedia / State Statistics Service / Pension Fund. Ukraine labour market dataset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https://index.minfin.com.ua/ua/labour/salary/min/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S352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State Statistics Service of Ukraine. Demography and migration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https://ukrstat.gov.ua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S085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UNCTAD. World Investment Report 2024 annex tables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https://unctad.org/system/files/official-document/wir2024_annex-1_en.pdf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S092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GMK Center. Business in a minefield: war risk insurance in Ukraine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https://gmk.center/en/posts/business-in-a-minefield-who-insures-the-ukrainian-economy-against-missiles-and-losses-and-how/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S393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EBRD. First Ukrainian companies take advantage of new war risk insurance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https://www.ebrd.com/home/news-and-events/news/2025/first-ukrainian-companies-take-advantage-of-new-war-risk-insuran.html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WEB-EC-SOL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European Commission. EU-Ukraine Solidarity Lanes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https://transport.ec.europa.eu/ukraine/keeping-transport-running-smoothly/eu-ukraine-solidarity-lanes_en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S082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GMK Center. War impact on logistics routes and supply chains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https://gmk.center/en/posts/how-the-russia-ukraine-war-has-impacted-on-logistics-routes-and-supply-chains/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UNCTAD. Global Trade Update: Top trends redefining global trade in 2026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https://unctad.org/publication/global-trade-update-january-2026-top-trends-redefining-global-trade-2026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UNCTAD. Global trade growth continues, but fragility rises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https://unctad.org/publication/global-trade-update-april-2026-global-trade-growth-continues-fragility-rises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S376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World Bank. Commodity Markets Outlook, April 2026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https://openknowledge.worldbank.org/entities/publication/3ede6f8c-ba03-4176-867c-40e604698570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S385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European Commission. Ukraine Facility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https://commission.europa.eu/topics/eu-solidarity-ukraine/eu-assistance-ukraine/ukraine-facility_en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S390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European Commission. EU support for Ukraine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https://commission.europa.eu/topics/eu-solidarity-ukraine/eu-assistance-ukraine_en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S391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European Commission. Ukraine Facility implementation and payments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https://commission.europa.eu/topics/eu-solidarity-ukraine/eu-assistance-ukraine/ukraine-facility_en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WEB-ERA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Ministry of Finance of Ukraine. G7 Extraordinary Revenue Acceleration loans statement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https://www.mof.gov.ua/en/news/statement_of_the_ministry_of_finance_of_ukraine_on_the_decision_of_the_g7_to_allocate_about_50_billion_to_ukraine_through_7_extraordinary_revenue_acceleration_loans_for_ukraine-4656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WEB-RD4U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Council of Europe. Register of Damage for Ukraine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https://rd4u.coe.int/en/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S366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OECD. Ukraine Economic Snapshot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https://www.oecd.org/en/topics/sub-issues/economic-surveys/ukraine-economic-snapshot.html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46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S384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OECD. Economic Surveys: Ukraine 2025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https://www.oecd.org/content/dam/oecd/en/publications/reports/2025/05/oecd-economic-surveys-ukraine-2025_940cee85-en.pdf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47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WEB-RAND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RAND Corporation. Analysis of the Future: The Delphi Method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https://www.rand.org/pubs/papers/P3558.html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48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WEB-IMF-FPP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Monetary Fund. Financial Programming and Policies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https://www.imf.org/en/capacity-development/training/icdtc/courses/fpp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49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WEB-IMF-FPAS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International Monetary Fund. Developing a Structured Forecasting and Policy Analysis System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https://www.elibrary.imf.org/view/journals/001/2009/065/article-A001-en.xml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50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WEB-OECD-RISK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OECD. Using foresight to anticipate emerging critical risks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https://www.oecd.org/en/publications/using-foresight-to-anticipate-emerging-critical-risks_84820cd8-en.html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51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WEB-OECD-LEGAL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OECD Legal Instruments. Recommendation on the Governance of Critical Risks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https://legalinstruments.oecd.org/en/instruments/OECD-LEGAL-0405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52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WEB-UK-NRR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UK Government. National Risk Register 2025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https://www.gov.uk/government/publications/national-risk-register-2025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53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WEB-UNDRR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UNDRR. Sendai Framework for Disaster Risk Reduction</w:t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https://www.undrr.org/implementing-sendai-framework/what-sendai-framework</w:t>
            </w:r>
          </w:p>
        </w:tc>
      </w:tr>
    </w:tbl>
    <w:p>
      <w:pPr>
        <w:pStyle w:val="Heading1"/>
      </w:pPr>
      <w:r>
        <w:t>11. Public audit closure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Gate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Result</w:t>
            </w:r>
          </w:p>
        </w:tc>
        <w:tc>
          <w:tcPr>
            <w:tcW w:type="dxa" w:w="3456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Note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Source freeze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53 frozen source entries; source freeze workbook created.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Clickable trust spine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Claim phrases are linked to exact logical statements rather than institution names.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Web-addendum verification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CONDITIONAL 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Primary forecast and recovery sources opened; two method sources carry access caveats and are kept with public-readable alternatives.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Public line edit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Reader-facing text removes internal route language and keeps Ukrainian explanation before English term.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Graph/source drawer completion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Core graph registry includes source IDs, formulas, drawer status and public status.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Debt caveat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Debt-service proxy is clearly separated from official cash-flow payment schedule.</w:t>
            </w:r>
          </w:p>
        </w:tc>
      </w:tr>
      <w:tr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Advanced sensitivity switches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PASS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Stress and ultra-positive are technical sensitivity controls outside the three core scenarios.</w:t>
            </w:r>
          </w:p>
        </w:tc>
      </w:tr>
    </w:tbl>
    <w:p>
      <w:pPr>
        <w:pStyle w:val="Heading1"/>
      </w:pPr>
      <w:r>
        <w:t>12. References</w:t>
      </w:r>
    </w:p>
    <w:p>
      <w:pPr>
        <w:pStyle w:val="Small"/>
      </w:pPr>
      <w:r>
        <w:t xml:space="preserve">[1] World Bank. Ukraine Macro Poverty Outlook, April 2026 [Електронний ресурс]. SourceID: S364. URL: </w:t>
      </w:r>
      <w:hyperlink r:id="rId10">
        <w:r>
          <w:rPr>
            <w:color w:val="0563C1"/>
            <w:u w:val="single"/>
          </w:rPr>
          <w:t>https://thedocs.worldbank.org/en/doc/d5f32ef28464d01f195827b7e020a3e8-0500022021/related/mpo-ukr.pdf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[2] National Bank of Ukraine. Inflation Report / forecast note, April-May 2026 [Електронний ресурс]. SourceID: S367/S380. URL: </w:t>
      </w:r>
      <w:hyperlink r:id="rId11">
        <w:r>
          <w:rPr>
            <w:color w:val="0563C1"/>
            <w:u w:val="single"/>
          </w:rPr>
          <w:t>https://bank.gov.ua/en/news/all/inflyatsiya-tsogo-roku-timchasovo-prishvidshitsya-ale-povernetsya-do-znijennya-v-nastupni-roki--inflyatsiyniy-zvit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[3] International Monetary Fund. Ukraine and the IMF country page [Електронний ресурс]. SourceID: S363/S393. URL: </w:t>
      </w:r>
      <w:hyperlink r:id="rId12">
        <w:r>
          <w:rPr>
            <w:color w:val="0563C1"/>
            <w:u w:val="single"/>
          </w:rPr>
          <w:t>https://www.imf.org/en/countries/ukr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[4] European Bank for Reconstruction and Development. Ukraine maintains macroeconomic stability despite war [Електронний ресурс]. SourceID: S365. URL: </w:t>
      </w:r>
      <w:hyperlink r:id="rId13">
        <w:r>
          <w:rPr>
            <w:color w:val="0563C1"/>
            <w:u w:val="single"/>
          </w:rPr>
          <w:t>https://www.ebrd.com/home/news-and-events/news/2026/ukraine-maintains-macroeconomic-stability-despite-war---ebrd-rep.html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[5] World Bank; Government of Ukraine; European Union; United Nations. Ukraine Fifth Rapid Damage and Needs Assessment (RDNA5) [Електронний ресурс]. SourceID: S372. URL: </w:t>
      </w:r>
      <w:hyperlink r:id="rId9">
        <w:r>
          <w:rPr>
            <w:color w:val="0563C1"/>
            <w:u w:val="single"/>
          </w:rPr>
          <w:t>https://documents1.worldbank.org/curated/en/099022026094036395/pdf/P514499-22f93f3a-4278-42bc-b907-db9553d12069.pdf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[6] State Statistics Service of Ukraine. GDP by production method [Електронний ресурс]. SourceID: S345. URL: </w:t>
      </w:r>
      <w:hyperlink r:id="rId16">
        <w:r>
          <w:rPr>
            <w:color w:val="0563C1"/>
            <w:u w:val="single"/>
          </w:rPr>
          <w:t>https://stat.gov.ua/uk/topics/natsionalni-rakhunky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[7] Ministry of Finance / MinfinMedia. Ukraine budget full dataset [Електронний ресурс]. SourceID: S358. URL: </w:t>
      </w:r>
      <w:hyperlink r:id="rId17">
        <w:r>
          <w:rPr>
            <w:color w:val="0563C1"/>
            <w:u w:val="single"/>
          </w:rPr>
          <w:t>https://index.minfin.com.ua/ua/finance/budget/cons/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[8] MinfinMedia / Ministry of Finance. Ukraine state debt 2009–2026 [Електронний ресурс]. SourceID: S355. URL: </w:t>
      </w:r>
      <w:hyperlink r:id="rId18">
        <w:r>
          <w:rPr>
            <w:color w:val="0563C1"/>
            <w:u w:val="single"/>
          </w:rPr>
          <w:t>https://index.minfin.com.ua/ua/finance/debtgov/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[9] NBU / MinfinMedia. Ukraine balance of payments [Електронний ресурс]. SourceID: S359. URL: </w:t>
      </w:r>
      <w:hyperlink r:id="rId19">
        <w:r>
          <w:rPr>
            <w:color w:val="0563C1"/>
            <w:u w:val="single"/>
          </w:rPr>
          <w:t>https://index.minfin.com.ua/ua/economy/balance/2026/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[10] Ministry of Finance of Ukraine. Debt payments and forecasts [Електронний ресурс]. SourceID: MOF-DEBT. URL: </w:t>
      </w:r>
      <w:hyperlink r:id="rId15">
        <w:r>
          <w:rPr>
            <w:color w:val="0563C1"/>
            <w:u w:val="single"/>
          </w:rPr>
          <w:t>https://mof.gov.ua/en/borgovi-platezhi-ta-prognozi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[11] International Energy Agency. Electricity 2026 executive summary [Електронний ресурс]. SourceID: S369. URL: </w:t>
      </w:r>
      <w:hyperlink r:id="rId20">
        <w:r>
          <w:rPr>
            <w:color w:val="0563C1"/>
            <w:u w:val="single"/>
          </w:rPr>
          <w:t>https://www.iea.org/reports/electricity-2026/executive-summary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[12] International Energy Agency. Ukraine’s energy security: pre-winter assessment [Електронний ресурс]. SourceID: S056/S395. URL: </w:t>
      </w:r>
      <w:hyperlink r:id="rId21">
        <w:r>
          <w:rPr>
            <w:color w:val="0563C1"/>
            <w:u w:val="single"/>
          </w:rPr>
          <w:t>https://iea.blob.core.windows.net/assets/5e369893-eceb-438e-a952-5ed811b4e8c0/UkrainesEnergySecurityandtheComingWinterApre-winterassessment.pdf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[13] Energy Map. Electricity dataset [Електронний ресурс]. SourceID: S063. URL: </w:t>
      </w:r>
      <w:hyperlink r:id="rId22">
        <w:r>
          <w:rPr>
            <w:color w:val="0563C1"/>
            <w:u w:val="single"/>
          </w:rPr>
          <w:t>https://energy-map.info/en/datasets/c51a16bc-e990-40db-b790-63624d823daa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[14] GMK Center. Electricity and gas prices for industrial consumers in Ukraine [Електронний ресурс]. SourceID: S042. URL: </w:t>
      </w:r>
      <w:hyperlink r:id="rId23">
        <w:r>
          <w:rPr>
            <w:color w:val="0563C1"/>
            <w:u w:val="single"/>
          </w:rPr>
          <w:t>https://gmk.center/en/infographic/electricity-and-gas-prices-in-ukraine-for-industrial-consumers-in-2025/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[15] NPC Ukrenergo. EU electricity import capacity to Ukraine and Moldova [Електронний ресурс]. SourceID: S115. URL: </w:t>
      </w:r>
      <w:hyperlink r:id="rId24">
        <w:r>
          <w:rPr>
            <w:color w:val="0563C1"/>
            <w:u w:val="single"/>
          </w:rPr>
          <w:t>https://ua.energy/zagalni-novyny/maksymalna-potuzhnist-importu-elektroenergiyi-z-yes-do-ukrayiny-ta-moldovy-u-sichni-zrosla-do-2-450-mvt/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[16] GMK Center. Ukrainian metallurgy: a new stage of development [Електронний ресурс]. SourceID: S001. URL: </w:t>
      </w:r>
      <w:hyperlink r:id="rId25">
        <w:r>
          <w:rPr>
            <w:color w:val="0563C1"/>
            <w:u w:val="single"/>
          </w:rPr>
          <w:t>https://gmk.center/ua/posts/ukrainska-metalurgiya-novij-etap-rozvitku/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[17] World Steel Association. Total production of crude steel [Електронний ресурс]. SourceID: S016. URL: </w:t>
      </w:r>
      <w:hyperlink r:id="rId26">
        <w:r>
          <w:rPr>
            <w:color w:val="0563C1"/>
            <w:u w:val="single"/>
          </w:rPr>
          <w:t>https://worldsteel.org/data/annual-production-steel-data/?ind=P1_crude_steel_total_pub/CHN/IND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[18] World Steel Association. Short Range Outlook April 2026 [Електронний ресурс]. SourceID: S368. URL: </w:t>
      </w:r>
      <w:hyperlink r:id="rId27">
        <w:r>
          <w:rPr>
            <w:color w:val="0563C1"/>
            <w:u w:val="single"/>
          </w:rPr>
          <w:t>https://worldsteel.org/media/press-releases/2026/worldsteel-short-range-outlook-april-2026/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[19] European Commission. Carbon Border Adjustment Mechanism [Електронний ресурс]. SourceID: S371/S049. URL: </w:t>
      </w:r>
      <w:hyperlink r:id="rId28">
        <w:r>
          <w:rPr>
            <w:color w:val="0563C1"/>
            <w:u w:val="single"/>
          </w:rPr>
          <w:t>https://taxation-customs.ec.europa.eu/carbon-border-adjustment-mechanism_en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[20] Kyiv School of Economics. Structural Changes and Challenges in Ukraine’s Construction Industry [Електронний ресурс]. SourceID: S116. URL: </w:t>
      </w:r>
      <w:hyperlink r:id="rId29">
        <w:r>
          <w:rPr>
            <w:color w:val="0563C1"/>
            <w:u w:val="single"/>
          </w:rPr>
          <w:t>https://kse.ua/wp-content/uploads/2024/09/02_09_24_Zvit_Strukturni_zmini_ta_vikliki_v_budivelnii--_industrii--.pdf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[21] International Finance Corporation. Rebuilding Ukraine: Investment Opportunities in Construction [Електронний ресурс]. SourceID: S119. URL: </w:t>
      </w:r>
      <w:hyperlink r:id="rId30">
        <w:r>
          <w:rPr>
            <w:color w:val="0563C1"/>
            <w:u w:val="single"/>
          </w:rPr>
          <w:t>https://www.ifc.org/content/dam/ifc/doc/2025/rebuilding-ukraine-investment-opportunities-in-construction-en.pdf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[22] YouControl Market. Construction market public snapshot [Електронний ресурс]. SourceID: S362. URL: </w:t>
      </w:r>
      <w:hyperlink r:id="rId31">
        <w:r>
          <w:rPr>
            <w:color w:val="0563C1"/>
            <w:u w:val="single"/>
          </w:rPr>
          <w:t>https://youcontrol.market/catalog/budivnytstvo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[23] OECD / FAO. Agricultural Outlook 2025–2034 [Електронний ресурс]. SourceID: S370. URL: </w:t>
      </w:r>
      <w:hyperlink r:id="rId32">
        <w:r>
          <w:rPr>
            <w:color w:val="0563C1"/>
            <w:u w:val="single"/>
          </w:rPr>
          <w:t>https://www.oecd.org/en/publications/2025/07/oecd-fao-agricultural-outlook-2025-2034_3eb15914.html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[24] Agribusiness in Ukraine. The Infographics Report: Ukrainian Agribusiness 2025 [Електронний ресурс]. SourceID: S137. URL: </w:t>
      </w:r>
      <w:hyperlink r:id="rId33">
        <w:r>
          <w:rPr>
            <w:color w:val="0563C1"/>
            <w:u w:val="single"/>
          </w:rPr>
          <w:t>https://agribusinessinukraine.com/the-infographics-report-ukrainian-agribusiness-2025/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[25] Institute for Economic Research and Policy Consulting. Sectoral Report: Machine Building in Ukraine [Електронний ресурс]. SourceID: S277. URL: </w:t>
      </w:r>
      <w:hyperlink r:id="rId34">
        <w:r>
          <w:rPr>
            <w:color w:val="0563C1"/>
            <w:u w:val="single"/>
          </w:rPr>
          <w:t>http://www.ier.com.ua/files/Projects/2024/CEP/Sectoral_report_machine_building_UKR.pdf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[26] Chemistry World. Ukraine’s chemicals industry survives weeks of war [Електронний ресурс]. SourceID: S205. URL: </w:t>
      </w:r>
      <w:hyperlink r:id="rId35">
        <w:r>
          <w:rPr>
            <w:color w:val="0563C1"/>
            <w:u w:val="single"/>
          </w:rPr>
          <w:t>https://www.chemistryworld.com/news/ukraines-chemicals-industry-survives-weeks-of-war/4015.article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[27] UkraineInvest. Chemicals industry in Ukraine [Електронний ресурс]. SourceID: S222. URL: </w:t>
      </w:r>
      <w:hyperlink r:id="rId36">
        <w:r>
          <w:rPr>
            <w:color w:val="0563C1"/>
            <w:u w:val="single"/>
          </w:rPr>
          <w:t>https://ukraineinvest.gov.ua/en/industries/chemicals/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[28] GMK Center. Ostchem fertilizer production context [Електронний ресурс]. SourceID: S207. URL: </w:t>
      </w:r>
      <w:hyperlink r:id="rId37">
        <w:r>
          <w:rPr>
            <w:color w:val="0563C1"/>
            <w:u w:val="single"/>
          </w:rPr>
          <w:t>https://gmk.center/en/news/ostchem-plants-produced-1-8-million-tons-of-mineral-fertilizers-in-2024/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[29] International Labour Organization. How did the war impact the Ukrainian labour market? [Електронний ресурс]. SourceID: S338. URL: </w:t>
      </w:r>
      <w:hyperlink r:id="rId38">
        <w:r>
          <w:rPr>
            <w:color w:val="0563C1"/>
            <w:u w:val="single"/>
          </w:rPr>
          <w:t>https://www.ilo.org/resource/news/how-did-war-impact-ukrainian-labour-market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[30] MinfinMedia / State Statistics Service / Pension Fund. Ukraine labour market dataset [Електронний ресурс]. SourceID: S357. URL: </w:t>
      </w:r>
      <w:hyperlink r:id="rId39">
        <w:r>
          <w:rPr>
            <w:color w:val="0563C1"/>
            <w:u w:val="single"/>
          </w:rPr>
          <w:t>https://index.minfin.com.ua/ua/labour/salary/min/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[31] State Statistics Service of Ukraine. Demography and migration [Електронний ресурс]. SourceID: S352. URL: </w:t>
      </w:r>
      <w:hyperlink r:id="rId40">
        <w:r>
          <w:rPr>
            <w:color w:val="0563C1"/>
            <w:u w:val="single"/>
          </w:rPr>
          <w:t>https://ukrstat.gov.ua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[32] UNCTAD. World Investment Report 2024 annex tables [Електронний ресурс]. SourceID: S085. URL: </w:t>
      </w:r>
      <w:hyperlink r:id="rId41">
        <w:r>
          <w:rPr>
            <w:color w:val="0563C1"/>
            <w:u w:val="single"/>
          </w:rPr>
          <w:t>https://unctad.org/system/files/official-document/wir2024_annex-1_en.pdf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[33] GMK Center. Business in a minefield: war risk insurance in Ukraine [Електронний ресурс]. SourceID: S092. URL: </w:t>
      </w:r>
      <w:hyperlink r:id="rId42">
        <w:r>
          <w:rPr>
            <w:color w:val="0563C1"/>
            <w:u w:val="single"/>
          </w:rPr>
          <w:t>https://gmk.center/en/posts/business-in-a-minefield-who-insures-the-ukrainian-economy-against-missiles-and-losses-and-how/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[34] EBRD. First Ukrainian companies take advantage of new war risk insurance [Електронний ресурс]. SourceID: S393. URL: </w:t>
      </w:r>
      <w:hyperlink r:id="rId43">
        <w:r>
          <w:rPr>
            <w:color w:val="0563C1"/>
            <w:u w:val="single"/>
          </w:rPr>
          <w:t>https://www.ebrd.com/home/news-and-events/news/2025/first-ukrainian-companies-take-advantage-of-new-war-risk-insuran.html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[35] European Commission. EU-Ukraine Solidarity Lanes [Електронний ресурс]. SourceID: WEB-EC-SOL. URL: </w:t>
      </w:r>
      <w:hyperlink r:id="rId44">
        <w:r>
          <w:rPr>
            <w:color w:val="0563C1"/>
            <w:u w:val="single"/>
          </w:rPr>
          <w:t>https://transport.ec.europa.eu/ukraine/keeping-transport-running-smoothly/eu-ukraine-solidarity-lanes_en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[36] GMK Center. War impact on logistics routes and supply chains [Електронний ресурс]. SourceID: S082. URL: </w:t>
      </w:r>
      <w:hyperlink r:id="rId45">
        <w:r>
          <w:rPr>
            <w:color w:val="0563C1"/>
            <w:u w:val="single"/>
          </w:rPr>
          <w:t>https://gmk.center/en/posts/how-the-russia-ukraine-war-has-impacted-on-logistics-routes-and-supply-chains/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[37] UNCTAD. Global Trade Update: Top trends redefining global trade in 2026 [Електронний ресурс]. SourceID: S373. URL: </w:t>
      </w:r>
      <w:hyperlink r:id="rId46">
        <w:r>
          <w:rPr>
            <w:color w:val="0563C1"/>
            <w:u w:val="single"/>
          </w:rPr>
          <w:t>https://unctad.org/publication/global-trade-update-january-2026-top-trends-redefining-global-trade-2026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[38] UNCTAD. Global trade growth continues, but fragility rises [Електронний ресурс]. SourceID: S374. URL: </w:t>
      </w:r>
      <w:hyperlink r:id="rId47">
        <w:r>
          <w:rPr>
            <w:color w:val="0563C1"/>
            <w:u w:val="single"/>
          </w:rPr>
          <w:t>https://unctad.org/publication/global-trade-update-april-2026-global-trade-growth-continues-fragility-rises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[39] World Bank. Commodity Markets Outlook, April 2026 [Електронний ресурс]. SourceID: S376. URL: </w:t>
      </w:r>
      <w:hyperlink r:id="rId48">
        <w:r>
          <w:rPr>
            <w:color w:val="0563C1"/>
            <w:u w:val="single"/>
          </w:rPr>
          <w:t>https://openknowledge.worldbank.org/entities/publication/3ede6f8c-ba03-4176-867c-40e604698570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[40] European Commission. Ukraine Facility [Електронний ресурс]. SourceID: S385. URL: </w:t>
      </w:r>
      <w:hyperlink r:id="rId49">
        <w:r>
          <w:rPr>
            <w:color w:val="0563C1"/>
            <w:u w:val="single"/>
          </w:rPr>
          <w:t>https://commission.europa.eu/topics/eu-solidarity-ukraine/eu-assistance-ukraine/ukraine-facility_en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[41] European Commission. EU support for Ukraine [Електронний ресурс]. SourceID: S390. URL: </w:t>
      </w:r>
      <w:hyperlink r:id="rId50">
        <w:r>
          <w:rPr>
            <w:color w:val="0563C1"/>
            <w:u w:val="single"/>
          </w:rPr>
          <w:t>https://commission.europa.eu/topics/eu-solidarity-ukraine/eu-assistance-ukraine_en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[42] European Commission. Ukraine Facility implementation and payments [Електронний ресурс]. SourceID: S391. URL: </w:t>
      </w:r>
      <w:hyperlink r:id="rId49">
        <w:r>
          <w:rPr>
            <w:color w:val="0563C1"/>
            <w:u w:val="single"/>
          </w:rPr>
          <w:t>https://commission.europa.eu/topics/eu-solidarity-ukraine/eu-assistance-ukraine/ukraine-facility_en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[43] Ministry of Finance of Ukraine. G7 Extraordinary Revenue Acceleration loans statement [Електронний ресурс]. SourceID: WEB-ERA. URL: </w:t>
      </w:r>
      <w:hyperlink r:id="rId51">
        <w:r>
          <w:rPr>
            <w:color w:val="0563C1"/>
            <w:u w:val="single"/>
          </w:rPr>
          <w:t>https://www.mof.gov.ua/en/news/statement_of_the_ministry_of_finance_of_ukraine_on_the_decision_of_the_g7_to_allocate_about_50_billion_to_ukraine_through_7_extraordinary_revenue_acceleration_loans_for_ukraine-4656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[44] Council of Europe. Register of Damage for Ukraine [Електронний ресурс]. SourceID: WEB-RD4U. URL: </w:t>
      </w:r>
      <w:hyperlink r:id="rId52">
        <w:r>
          <w:rPr>
            <w:color w:val="0563C1"/>
            <w:u w:val="single"/>
          </w:rPr>
          <w:t>https://rd4u.coe.int/en/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[45] OECD. Ukraine Economic Snapshot [Електронний ресурс]. SourceID: S366. URL: </w:t>
      </w:r>
      <w:hyperlink r:id="rId53">
        <w:r>
          <w:rPr>
            <w:color w:val="0563C1"/>
            <w:u w:val="single"/>
          </w:rPr>
          <w:t>https://www.oecd.org/en/topics/sub-issues/economic-surveys/ukraine-economic-snapshot.html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[46] OECD. Economic Surveys: Ukraine 2025 [Електронний ресурс]. SourceID: S384. URL: </w:t>
      </w:r>
      <w:hyperlink r:id="rId54">
        <w:r>
          <w:rPr>
            <w:color w:val="0563C1"/>
            <w:u w:val="single"/>
          </w:rPr>
          <w:t>https://www.oecd.org/content/dam/oecd/en/publications/reports/2025/05/oecd-economic-surveys-ukraine-2025_940cee85-en.pdf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[47] RAND Corporation. Analysis of the Future: The Delphi Method [Електронний ресурс]. SourceID: WEB-RAND. URL: </w:t>
      </w:r>
      <w:hyperlink r:id="rId14">
        <w:r>
          <w:rPr>
            <w:color w:val="0563C1"/>
            <w:u w:val="single"/>
          </w:rPr>
          <w:t>https://www.rand.org/pubs/papers/P3558.html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[48] International Monetary Fund. Financial Programming and Policies [Електронний ресурс]. SourceID: WEB-IMF-FPP. URL: </w:t>
      </w:r>
      <w:hyperlink r:id="rId55">
        <w:r>
          <w:rPr>
            <w:color w:val="0563C1"/>
            <w:u w:val="single"/>
          </w:rPr>
          <w:t>https://www.imf.org/en/capacity-development/training/icdtc/courses/fpp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[49] International Monetary Fund. Developing a Structured Forecasting and Policy Analysis System [Електронний ресурс]. SourceID: WEB-IMF-FPAS. URL: </w:t>
      </w:r>
      <w:hyperlink r:id="rId56">
        <w:r>
          <w:rPr>
            <w:color w:val="0563C1"/>
            <w:u w:val="single"/>
          </w:rPr>
          <w:t>https://www.elibrary.imf.org/view/journals/001/2009/065/article-A001-en.xml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[50] OECD. Using foresight to anticipate emerging critical risks [Електронний ресурс]. SourceID: WEB-OECD-RISK. URL: </w:t>
      </w:r>
      <w:hyperlink r:id="rId57">
        <w:r>
          <w:rPr>
            <w:color w:val="0563C1"/>
            <w:u w:val="single"/>
          </w:rPr>
          <w:t>https://www.oecd.org/en/publications/using-foresight-to-anticipate-emerging-critical-risks_84820cd8-en.html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[51] OECD Legal Instruments. Recommendation on the Governance of Critical Risks [Електронний ресурс]. SourceID: WEB-OECD-LEGAL. URL: </w:t>
      </w:r>
      <w:hyperlink r:id="rId58">
        <w:r>
          <w:rPr>
            <w:color w:val="0563C1"/>
            <w:u w:val="single"/>
          </w:rPr>
          <w:t>https://legalinstruments.oecd.org/en/instruments/OECD-LEGAL-0405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[52] UK Government. National Risk Register 2025 [Електронний ресурс]. SourceID: WEB-UK-NRR. URL: </w:t>
      </w:r>
      <w:hyperlink r:id="rId59">
        <w:r>
          <w:rPr>
            <w:color w:val="0563C1"/>
            <w:u w:val="single"/>
          </w:rPr>
          <w:t>https://www.gov.uk/government/publications/national-risk-register-2025</w:t>
        </w:r>
      </w:hyperlink>
      <w:r>
        <w:t xml:space="preserve"> Дата звернення: 27.05.2026.</w:t>
      </w:r>
    </w:p>
    <w:p>
      <w:pPr>
        <w:pStyle w:val="Small"/>
      </w:pPr>
      <w:r>
        <w:t xml:space="preserve">[53] UNDRR. Sendai Framework for Disaster Risk Reduction [Електронний ресурс]. SourceID: WEB-UNDRR. URL: </w:t>
      </w:r>
      <w:hyperlink r:id="rId60">
        <w:r>
          <w:rPr>
            <w:color w:val="0563C1"/>
            <w:u w:val="single"/>
          </w:rPr>
          <w:t>https://www.undrr.org/implementing-sendai-framework/what-sendai-framework</w:t>
        </w:r>
      </w:hyperlink>
      <w:r>
        <w:t xml:space="preserve"> Дата звернення: 27.05.2026.</w:t>
      </w:r>
    </w:p>
    <w:sectPr w:rsidR="00FC693F" w:rsidRPr="0006063C" w:rsidSect="00034616">
      <w:footerReference w:type="default" r:id="rId61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5959"/>
        <w:sz w:val="16"/>
      </w:rPr>
      <w:t>Україна: реіндустріалізація 2030–2035 — публічна версія | 27.05.2026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pPr>
      <w:spacing w:after="80"/>
    </w:pPr>
    <w:rPr>
      <w:rFonts w:ascii="Arial" w:hAnsi="Arial" w:eastAsia="Arial"/>
      <w:b w:val="0"/>
      <w:color w:val="595959"/>
      <w:sz w:val="17"/>
    </w:rPr>
  </w:style>
  <w:style w:type="paragraph" w:customStyle="1" w:styleId="Formula">
    <w:name w:val="Formula"/>
    <w:pPr>
      <w:spacing w:after="80"/>
    </w:pPr>
    <w:rPr>
      <w:rFonts w:ascii="Arial" w:hAnsi="Arial" w:eastAsia="Arial"/>
      <w:b w:val="0"/>
      <w:color w:val="1F4E79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s1.worldbank.org/curated/en/099022026094036395/pdf/P514499-22f93f3a-4278-42bc-b907-db9553d12069.pdf" TargetMode="External"/><Relationship Id="rId10" Type="http://schemas.openxmlformats.org/officeDocument/2006/relationships/hyperlink" Target="https://thedocs.worldbank.org/en/doc/d5f32ef28464d01f195827b7e020a3e8-0500022021/related/mpo-ukr.pdf" TargetMode="External"/><Relationship Id="rId11" Type="http://schemas.openxmlformats.org/officeDocument/2006/relationships/hyperlink" Target="https://bank.gov.ua/en/news/all/inflyatsiya-tsogo-roku-timchasovo-prishvidshitsya-ale-povernetsya-do-znijennya-v-nastupni-roki--inflyatsiyniy-zvit" TargetMode="External"/><Relationship Id="rId12" Type="http://schemas.openxmlformats.org/officeDocument/2006/relationships/hyperlink" Target="https://www.imf.org/en/countries/ukr" TargetMode="External"/><Relationship Id="rId13" Type="http://schemas.openxmlformats.org/officeDocument/2006/relationships/hyperlink" Target="https://www.ebrd.com/home/news-and-events/news/2026/ukraine-maintains-macroeconomic-stability-despite-war---ebrd-rep.html" TargetMode="External"/><Relationship Id="rId14" Type="http://schemas.openxmlformats.org/officeDocument/2006/relationships/hyperlink" Target="https://www.rand.org/pubs/papers/P3558.html" TargetMode="External"/><Relationship Id="rId15" Type="http://schemas.openxmlformats.org/officeDocument/2006/relationships/hyperlink" Target="https://mof.gov.ua/en/borgovi-platezhi-ta-prognozi" TargetMode="External"/><Relationship Id="rId16" Type="http://schemas.openxmlformats.org/officeDocument/2006/relationships/hyperlink" Target="https://stat.gov.ua/uk/topics/natsionalni-rakhunky" TargetMode="External"/><Relationship Id="rId17" Type="http://schemas.openxmlformats.org/officeDocument/2006/relationships/hyperlink" Target="https://index.minfin.com.ua/ua/finance/budget/cons/" TargetMode="External"/><Relationship Id="rId18" Type="http://schemas.openxmlformats.org/officeDocument/2006/relationships/hyperlink" Target="https://index.minfin.com.ua/ua/finance/debtgov/" TargetMode="External"/><Relationship Id="rId19" Type="http://schemas.openxmlformats.org/officeDocument/2006/relationships/hyperlink" Target="https://index.minfin.com.ua/ua/economy/balance/2026/" TargetMode="External"/><Relationship Id="rId20" Type="http://schemas.openxmlformats.org/officeDocument/2006/relationships/hyperlink" Target="https://www.iea.org/reports/electricity-2026/executive-summary" TargetMode="External"/><Relationship Id="rId21" Type="http://schemas.openxmlformats.org/officeDocument/2006/relationships/hyperlink" Target="https://iea.blob.core.windows.net/assets/5e369893-eceb-438e-a952-5ed811b4e8c0/UkrainesEnergySecurityandtheComingWinterApre-winterassessment.pdf" TargetMode="External"/><Relationship Id="rId22" Type="http://schemas.openxmlformats.org/officeDocument/2006/relationships/hyperlink" Target="https://energy-map.info/en/datasets/c51a16bc-e990-40db-b790-63624d823daa" TargetMode="External"/><Relationship Id="rId23" Type="http://schemas.openxmlformats.org/officeDocument/2006/relationships/hyperlink" Target="https://gmk.center/en/infographic/electricity-and-gas-prices-in-ukraine-for-industrial-consumers-in-2025/" TargetMode="External"/><Relationship Id="rId24" Type="http://schemas.openxmlformats.org/officeDocument/2006/relationships/hyperlink" Target="https://ua.energy/zagalni-novyny/maksymalna-potuzhnist-importu-elektroenergiyi-z-yes-do-ukrayiny-ta-moldovy-u-sichni-zrosla-do-2-450-mvt/" TargetMode="External"/><Relationship Id="rId25" Type="http://schemas.openxmlformats.org/officeDocument/2006/relationships/hyperlink" Target="https://gmk.center/ua/posts/ukrainska-metalurgiya-novij-etap-rozvitku/" TargetMode="External"/><Relationship Id="rId26" Type="http://schemas.openxmlformats.org/officeDocument/2006/relationships/hyperlink" Target="https://worldsteel.org/data/annual-production-steel-data/?ind=P1_crude_steel_total_pub/CHN/IND" TargetMode="External"/><Relationship Id="rId27" Type="http://schemas.openxmlformats.org/officeDocument/2006/relationships/hyperlink" Target="https://worldsteel.org/media/press-releases/2026/worldsteel-short-range-outlook-april-2026/" TargetMode="External"/><Relationship Id="rId28" Type="http://schemas.openxmlformats.org/officeDocument/2006/relationships/hyperlink" Target="https://taxation-customs.ec.europa.eu/carbon-border-adjustment-mechanism_en" TargetMode="External"/><Relationship Id="rId29" Type="http://schemas.openxmlformats.org/officeDocument/2006/relationships/hyperlink" Target="https://kse.ua/wp-content/uploads/2024/09/02_09_24_Zvit_Strukturni_zmini_ta_vikliki_v_budivelnii--_industrii--.pdf" TargetMode="External"/><Relationship Id="rId30" Type="http://schemas.openxmlformats.org/officeDocument/2006/relationships/hyperlink" Target="https://www.ifc.org/content/dam/ifc/doc/2025/rebuilding-ukraine-investment-opportunities-in-construction-en.pdf" TargetMode="External"/><Relationship Id="rId31" Type="http://schemas.openxmlformats.org/officeDocument/2006/relationships/hyperlink" Target="https://youcontrol.market/catalog/budivnytstvo" TargetMode="External"/><Relationship Id="rId32" Type="http://schemas.openxmlformats.org/officeDocument/2006/relationships/hyperlink" Target="https://www.oecd.org/en/publications/2025/07/oecd-fao-agricultural-outlook-2025-2034_3eb15914.html" TargetMode="External"/><Relationship Id="rId33" Type="http://schemas.openxmlformats.org/officeDocument/2006/relationships/hyperlink" Target="https://agribusinessinukraine.com/the-infographics-report-ukrainian-agribusiness-2025/" TargetMode="External"/><Relationship Id="rId34" Type="http://schemas.openxmlformats.org/officeDocument/2006/relationships/hyperlink" Target="http://www.ier.com.ua/files/Projects/2024/CEP/Sectoral_report_machine_building_UKR.pdf" TargetMode="External"/><Relationship Id="rId35" Type="http://schemas.openxmlformats.org/officeDocument/2006/relationships/hyperlink" Target="https://www.chemistryworld.com/news/ukraines-chemicals-industry-survives-weeks-of-war/4015.article" TargetMode="External"/><Relationship Id="rId36" Type="http://schemas.openxmlformats.org/officeDocument/2006/relationships/hyperlink" Target="https://ukraineinvest.gov.ua/en/industries/chemicals/" TargetMode="External"/><Relationship Id="rId37" Type="http://schemas.openxmlformats.org/officeDocument/2006/relationships/hyperlink" Target="https://gmk.center/en/news/ostchem-plants-produced-1-8-million-tons-of-mineral-fertilizers-in-2024/" TargetMode="External"/><Relationship Id="rId38" Type="http://schemas.openxmlformats.org/officeDocument/2006/relationships/hyperlink" Target="https://www.ilo.org/resource/news/how-did-war-impact-ukrainian-labour-market" TargetMode="External"/><Relationship Id="rId39" Type="http://schemas.openxmlformats.org/officeDocument/2006/relationships/hyperlink" Target="https://index.minfin.com.ua/ua/labour/salary/min/" TargetMode="External"/><Relationship Id="rId40" Type="http://schemas.openxmlformats.org/officeDocument/2006/relationships/hyperlink" Target="https://ukrstat.gov.ua" TargetMode="External"/><Relationship Id="rId41" Type="http://schemas.openxmlformats.org/officeDocument/2006/relationships/hyperlink" Target="https://unctad.org/system/files/official-document/wir2024_annex-1_en.pdf" TargetMode="External"/><Relationship Id="rId42" Type="http://schemas.openxmlformats.org/officeDocument/2006/relationships/hyperlink" Target="https://gmk.center/en/posts/business-in-a-minefield-who-insures-the-ukrainian-economy-against-missiles-and-losses-and-how/" TargetMode="External"/><Relationship Id="rId43" Type="http://schemas.openxmlformats.org/officeDocument/2006/relationships/hyperlink" Target="https://www.ebrd.com/home/news-and-events/news/2025/first-ukrainian-companies-take-advantage-of-new-war-risk-insuran.html" TargetMode="External"/><Relationship Id="rId44" Type="http://schemas.openxmlformats.org/officeDocument/2006/relationships/hyperlink" Target="https://transport.ec.europa.eu/ukraine/keeping-transport-running-smoothly/eu-ukraine-solidarity-lanes_en" TargetMode="External"/><Relationship Id="rId45" Type="http://schemas.openxmlformats.org/officeDocument/2006/relationships/hyperlink" Target="https://gmk.center/en/posts/how-the-russia-ukraine-war-has-impacted-on-logistics-routes-and-supply-chains/" TargetMode="External"/><Relationship Id="rId46" Type="http://schemas.openxmlformats.org/officeDocument/2006/relationships/hyperlink" Target="https://unctad.org/publication/global-trade-update-january-2026-top-trends-redefining-global-trade-2026" TargetMode="External"/><Relationship Id="rId47" Type="http://schemas.openxmlformats.org/officeDocument/2006/relationships/hyperlink" Target="https://unctad.org/publication/global-trade-update-april-2026-global-trade-growth-continues-fragility-rises" TargetMode="External"/><Relationship Id="rId48" Type="http://schemas.openxmlformats.org/officeDocument/2006/relationships/hyperlink" Target="https://openknowledge.worldbank.org/entities/publication/3ede6f8c-ba03-4176-867c-40e604698570" TargetMode="External"/><Relationship Id="rId49" Type="http://schemas.openxmlformats.org/officeDocument/2006/relationships/hyperlink" Target="https://commission.europa.eu/topics/eu-solidarity-ukraine/eu-assistance-ukraine/ukraine-facility_en" TargetMode="External"/><Relationship Id="rId50" Type="http://schemas.openxmlformats.org/officeDocument/2006/relationships/hyperlink" Target="https://commission.europa.eu/topics/eu-solidarity-ukraine/eu-assistance-ukraine_en" TargetMode="External"/><Relationship Id="rId51" Type="http://schemas.openxmlformats.org/officeDocument/2006/relationships/hyperlink" Target="https://www.mof.gov.ua/en/news/statement_of_the_ministry_of_finance_of_ukraine_on_the_decision_of_the_g7_to_allocate_about_50_billion_to_ukraine_through_7_extraordinary_revenue_acceleration_loans_for_ukraine-4656" TargetMode="External"/><Relationship Id="rId52" Type="http://schemas.openxmlformats.org/officeDocument/2006/relationships/hyperlink" Target="https://rd4u.coe.int/en/" TargetMode="External"/><Relationship Id="rId53" Type="http://schemas.openxmlformats.org/officeDocument/2006/relationships/hyperlink" Target="https://www.oecd.org/en/topics/sub-issues/economic-surveys/ukraine-economic-snapshot.html" TargetMode="External"/><Relationship Id="rId54" Type="http://schemas.openxmlformats.org/officeDocument/2006/relationships/hyperlink" Target="https://www.oecd.org/content/dam/oecd/en/publications/reports/2025/05/oecd-economic-surveys-ukraine-2025_940cee85-en.pdf" TargetMode="External"/><Relationship Id="rId55" Type="http://schemas.openxmlformats.org/officeDocument/2006/relationships/hyperlink" Target="https://www.imf.org/en/capacity-development/training/icdtc/courses/fpp" TargetMode="External"/><Relationship Id="rId56" Type="http://schemas.openxmlformats.org/officeDocument/2006/relationships/hyperlink" Target="https://www.elibrary.imf.org/view/journals/001/2009/065/article-A001-en.xml" TargetMode="External"/><Relationship Id="rId57" Type="http://schemas.openxmlformats.org/officeDocument/2006/relationships/hyperlink" Target="https://www.oecd.org/en/publications/using-foresight-to-anticipate-emerging-critical-risks_84820cd8-en.html" TargetMode="External"/><Relationship Id="rId58" Type="http://schemas.openxmlformats.org/officeDocument/2006/relationships/hyperlink" Target="https://legalinstruments.oecd.org/en/instruments/OECD-LEGAL-0405" TargetMode="External"/><Relationship Id="rId59" Type="http://schemas.openxmlformats.org/officeDocument/2006/relationships/hyperlink" Target="https://www.gov.uk/government/publications/national-risk-register-2025" TargetMode="External"/><Relationship Id="rId60" Type="http://schemas.openxmlformats.org/officeDocument/2006/relationships/hyperlink" Target="https://www.undrr.org/implementing-sendai-framework/what-sendai-framework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